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Kravattensliden i Bjurholms kommun</w:t>
      </w:r>
    </w:p>
    <w:p>
      <w:r>
        <w:t>Detta dokument behandlar höga naturvärden i avverkningsanmälan Kravattensliden i Bjurholms kommun. Denna avverkningsanmälan inkom 2025-08-02 och omfattar 535,2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69 naturvårdsarter hittats: fläckporing (VU), knärot (VU, §8), kristallticka (VU), lappticka (VU), liten aspgelélav (VU), långskägg (VU, §8), norsk näverlav (VU), ostticka (VU), ringlav (VU), rynkskinn (VU), skuggnål (VU), ulltickeporing (VU), blanksvart spiklav (NT), blek lundlav (NT), blågrå svartspik (NT), doftskinn (NT), dvärgbägarlav (NT), gammelgransskål (NT), garnlav (NT), granticka (NT), gränsticka (NT), grönhjon (NT), harticka (NT), kolflarnlav (NT), lunglav (NT), mörk kolflarnlav (NT), oljetagging (NT), rosenticka (NT), småflikig brosklav (NT), spillkråka (NT, §4), stjärntagging (NT), tallticka (NT), talltita (NT, §4), tretåig hackspett (NT, §4), ullticka (NT), vedflamlav (NT), vedskivlav (NT), violettgrå tagellav (NT), violmussling (NT), vitgrynig nållav (NT), barkticka (S), blodticka (S), bronshjon (S), bårdlav (S), dvärgtufs (S), granbarkgnagare (S), kattfotslav (S), korallblylav (S), luddlav (S), mindre märgborre (S), mörk husmossa (S), plattlummer (S, §9), skinnlav (S), spindelblomster (S, §8), stuplav (S), svart trolldruva (S), thomsons trägnagare (S), Thymalus limbatus (S), trådticka (S), vedticka (S), vågbandad barkbock (S), ögonpyrola (S), kungsfågel (§4), lavskrika (§4), tjäder (§4), huggorm (§6), fläcknycklar (§8), nattviol (§8) och revlummer (§9). Av dessa är 40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274654"/>
            <wp:docPr id="1" name="Picture 1"/>
            <wp:cNvGraphicFramePr>
              <a:graphicFrameLocks noChangeAspect="1"/>
            </wp:cNvGraphicFramePr>
            <a:graphic>
              <a:graphicData uri="http://schemas.openxmlformats.org/drawingml/2006/picture">
                <pic:pic>
                  <pic:nvPicPr>
                    <pic:cNvPr id="0" name="Kravattensliden karta.png"/>
                    <pic:cNvPicPr/>
                  </pic:nvPicPr>
                  <pic:blipFill>
                    <a:blip r:embed="rId16"/>
                    <a:stretch>
                      <a:fillRect/>
                    </a:stretch>
                  </pic:blipFill>
                  <pic:spPr>
                    <a:xfrm>
                      <a:off x="0" y="0"/>
                      <a:ext cx="5486400" cy="327465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7057669, E 673760 i SWEREF 99 TM.</w:t>
      </w:r>
    </w:p>
    <w:p>
      <w:r>
        <w:rPr>
          <w:b/>
        </w:rPr>
        <w:t>Blanksvart spiklav (NT)</w:t>
      </w:r>
      <w:r>
        <w:t xml:space="preserve"> förekommer på torr, hård, gammal kärnved men även på äldre ytved av tall i naturskogsartade bestånd med begränsad brandpåverkan och ostörd hydrologi. Skogsbruksåtgärder på eller i närheten av lokaler med blanksvart spiklav utgör ett hot. Naturskogsartade öppna tall- och barrblandskogar med blanksvart spiklav indikerar höga biologiska värden och bör bevaras (SLU Artdatabanken, 2024).</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Dvärgbägarlav (NT)</w:t>
      </w:r>
      <w:r>
        <w:t xml:space="preserve"> förekommer över hela Sverige på gammal hård ved, huvudsakligen på tall men i södra Sverige även på ek. Veden utgörs framförallt av grova stubbar, lågor och grenar. Substratet har blivit sällsyntare och nybildning av substrat sker bara i begränsad omfattning. Arten hotas av att grova lågor blir allt sällsyntare i dagens kulturskogar samt att nybildningen av lämpliga substrat går mycket långsamt. En riklig tillgång på gamla tall- eller eklågor måste säkerställas på artens lokaler (SLU Artdatabanken, 2024;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Grönhjon (NT)</w:t>
      </w:r>
      <w:r>
        <w:t xml:space="preserve"> är en skalbagge vars larvutveckling framför allt sker i grovbarkiga grenar (minst 3–5 cm tjocka) på gamla granar, men även i klena stamdelar av barrträd, främst gran, i mindre omfattning tall. Arten är knuten till gamla och gärna glesa granskogar där det finns långsamväxande träd med välutvecklat grenverk. Larverna lever i den skrovliga barken och gör en flera cm bred platt gång som mest liknar en rund håla och är tydligt nedsänkt i vedytan. I kanten av eller mitt på gången finner man en 5 mm bred, oval gång in i grenens ved där arten gör sin puppkammare. Insekten kläcks sedan ut genom samma gång. Främsta hotet är att gamla granar med grova grenar försvinner genom skogsbruk. Äldre granbestånd bör sparas så långt det är möjligt, och inte gallras eller slutavverkas (SLU Artdatabanken, 2024).</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(SLU Artdatabanken, 2024; Nitare &amp; Skogsstyrelsen, 2019).</w:t>
      </w:r>
    </w:p>
    <w:p>
      <w:r>
        <w:rPr>
          <w:b/>
        </w:rPr>
        <w:t xml:space="preserve">Kattfotslav </w:t>
      </w:r>
      <w:r>
        <w:t>är en mycket god signalart i hela sitt svenska utbredningsområde och skogsbestånd med kattfotslav är alltid värdefulla ur naturvårdssynpunkt. Arten indikerar dels ett mikroklimat med konstant hög luftfuktighet, dels kontinuitet av äldre träd och god trädslutenhet. Trots att den är vanligare i sydvästra Sverige växer den enbart i skogsbestånd med höga naturvärden. Den är känslig för skogliga ingrepp som kan förändra lokal- och mikroklimat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(SLU Artdatabanken, 2024).</w:t>
      </w:r>
    </w:p>
    <w:p>
      <w:r>
        <w:rPr>
          <w:b/>
        </w:rPr>
        <w:t>Korallblylav</w:t>
      </w:r>
      <w:r>
        <w:t xml:space="preserve"> växer på bark av asp, ask, rönn, sälg, bok och lönn och signalerar överallt skogsbestånd med höga naturvärden och den följs nästan alltid av andra ovanliga och rödlistade arter. Den indikerar hög och jämn luftfuktighet och växer främst i områden med lång skoglig kontinuitet där det funnits ett ständigt inslag av gamla lövträd (SLU Artdatabanken, 2024; Nitare &amp; Skogsstyrelsen, 2019).</w:t>
      </w:r>
    </w:p>
    <w:p>
      <w:r>
        <w:rPr>
          <w:b/>
        </w:rPr>
        <w:t>Kristallticka (VU)</w:t>
      </w:r>
      <w:r>
        <w:t xml:space="preserve"> är en mycket krävande art som växer i urskogsartade barrnaturskogar där det finns rikligt med grov död ved i olika nedbrytningsstadier. Den är placerad högst upp i Skogsstyrelsens värdepyramid för bedömning av skog med höga naturvärden och är en av våra främsta naturvärdesindikatorer på skyddsvärda barrnaturskogar. Alla skogsskötselåtgärder på eller i omedelbar närhet av lokalerna påverkar arten negativt liksom den minskande andelen död ved i kulturskogarna (SLU Artdatabanken, 2024; Nitare &amp; Skogsstyrelsen, 2019).</w:t>
      </w:r>
    </w:p>
    <w:p>
      <w:r>
        <w:rPr>
          <w:b/>
        </w:rPr>
        <w:t>Lappticka (VU)</w:t>
      </w:r>
      <w:r>
        <w:t>, rödlistad som sårbar, är knuten till gamla granskogar med riklig förekomst av död ved. Den klassas som en “urskogsindikator” och alla skogsskötselåtgärder på eller i omedelbar närhet av lokalerna utgör ett hot (Nitare &amp; Skogsstyrelsen, 2019; SLU Artdatabanken, 2024).</w:t>
      </w:r>
    </w:p>
    <w:p>
      <w:r>
        <w:rPr>
          <w:b/>
        </w:rPr>
        <w:t>Liten aspgelélav (VU)</w:t>
      </w:r>
      <w:r>
        <w:t>, rödlistad som sårbar, växer på asp i halvöppna boreala blandskogar med hög och jämn luftfuktighet. Den omfattas av åtgärdsprogram (ÅGP) för hotade arter på asp i Norrland och är placerad i toppen av Skogsstyrelsens värdepyramid för bedömning av skog med höga naturvärden. Arten har ett mycket högt skyddsvärde då en mycket stor andel (mer än 90 %) av samtliga kända lokaler i världen finns i Sverige. Samtliga lokaler måste skyddas och inslaget av asp i skogsmark måste öka på lång sikt (Naturvårdsverket, 2010; Nitare &amp; Skogsstyrelsen, 2019; SLU Artdatabanken, 2024).</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Mindre märgborre</w:t>
      </w:r>
      <w:r>
        <w:t xml:space="preserve"> är en signalart för tallskog med höga naturvärden och betraktas tillsammans med skarptandad barkborre (NT) som nyckelarter för ett antal sällsynta åtgärdsprogramsarter som är beroende av deras gångsystem. Bland dessa kan nämnas avlång barkborre (VU), </w:t>
      </w:r>
      <w:r>
        <w:rPr>
          <w:i/>
        </w:rPr>
        <w:t>Corticeus longulus</w:t>
      </w:r>
      <w:r>
        <w:t xml:space="preserve"> (VU), tallbarksvartbagge (VU), tallgångbagge (VU) och cholodkovskys bastborre (NT). Den mindre märgborrens måsvingeliknande gnaggångar är lätta att känna igen och hittas ofta på grova tallgrenar på marken. Rika förekomster av främst mindre märgborre men även skarptandad barkborre (NT) är en signal för artrikedom och inventeringar har visat att det är i skogar med en naturlig självgallring som det skapas förutsättningar för dessa arter samt de efterföljande åtgärdsprogramsarterna. Tallskogar med stark förekomst av mindre märgborre och skarptandad barkborre bör avsättas som reservat. Generellt bör hänsyn tas vid slutavverkning av talldominerad skog så att avverkningsrester som gren- och toppdelar lämnas (Pettersson, 2014; Hedgren, 2012; Gunnarsson m fl., 1999).</w:t>
      </w:r>
    </w:p>
    <w:p>
      <w:r>
        <w:rPr>
          <w:b/>
        </w:rPr>
        <w:t xml:space="preserve">Mörk husmossa </w:t>
      </w:r>
      <w:r>
        <w:t>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(SLU Artdatabanken, 2024; Nitare &amp; Skogsstyrelsen, 2019).</w:t>
      </w:r>
    </w:p>
    <w:p>
      <w:r>
        <w:rPr>
          <w:b/>
        </w:rPr>
        <w:t>Mörk kolflarnlav (NT)</w:t>
      </w:r>
      <w:r>
        <w:t xml:space="preserve"> är brandberoende och växer nästan uteslutande på kolad hård kärnved av tall. Arten förekommer främst i glesa, öppna tall- och blandbarrskogar av naturskogskaraktär och etableringen verkar ske sent efter brand, kanske först efter 100–300 år. Mörk kolflarnlav indikerar skog med höga naturvärden och vanligast är att den påträffas på rester av nedbrunna torrakor och högstubbar och lågstubbar som är så grova att hela innandömet är urbränt. Tall- och blandbarrskogar av naturskogskaraktär med spår av återkommande bränder hyser höga biologiska värden och bör skyddas (SLU Artdatabanken, 2024).</w:t>
      </w:r>
    </w:p>
    <w:p>
      <w:r>
        <w:rPr>
          <w:b/>
        </w:rPr>
        <w:t>Norsk näverlav (VU)</w:t>
      </w:r>
      <w:r>
        <w:t>, rödlistad som sårbar, är en suboceanisk art och påträffas bara i områden med hög och jämn luftfuktighet. Den växer i fuktiga granskogar, främst på stammar eller grenar av äldre björkar och granar. Arten är placerad i toppen av Skogsstyrelsens värdepyramid för bedömning av skog med höga naturvärden och försvinner eller missgynnas starkt vid all form av avverkning på eller i anslutning till lokalerna. Norsk näverlav har en hög andel av sin världspopulation i Norge och Sverige vilket medför ett särskilt ansvar för arten (Nitare &amp; Skogsstyrelsen, 2019; SLU Artdatabanken, 2024).</w:t>
      </w:r>
    </w:p>
    <w:p>
      <w:r>
        <w:rPr>
          <w:b/>
        </w:rPr>
        <w:t xml:space="preserve">Ostticka (VU) </w:t>
      </w:r>
      <w:r>
        <w:t>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(SLU Artdatabanken, 2024; Nitare &amp; Skogsstyrelsen, 2019).</w:t>
      </w:r>
    </w:p>
    <w:p>
      <w:r>
        <w:rPr>
          <w:b/>
        </w:rPr>
        <w:t>Ringlav (VU)</w:t>
      </w:r>
      <w:r>
        <w:t>, rödlistad som sårbar, växer oftast på gran och tall i brandrefugiala halvöppna skogar med hög och jämn luftfuktighet. Under de senaste 50 åren har minskningstakten uppgått till 30 (20–40) %. Hur mycket den kommer att minska i framtiden beror på vad som kommer att ske med de stora förekomster som hittats men som ännu saknar skydd. Arten, som är placerad i toppen på Skogsstyrelsen värdepyramid för bedömning av skog med höga naturvärden, är ytterst känslig för förändringar i mikroklimatet och den överlever inte i skogsbestånd som gränsar till kalhyggen. Lavens förekomster tillsammans med väl tilltagna skyddszoner måste skyddas och undantas från produktionsinriktat skogsbruk (SLU Artdatabanken, 2024; Nitare &amp; Skogsstyrelsen, 2019).</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 xml:space="preserve">Skuggnål (VU) </w:t>
      </w:r>
      <w:r>
        <w:t>växer främst vid basen av gamla grova granar i gamla boreala barrskogar med hög bonitet och mycket hög luftfuktighet. Minskningstakten har uppgått till 30 (20–50) % under de senaste 50 åren och överstiger gränsvärdet för Sårbar (VU) enligt A-kriteriet. (A2bc+4bc). Vid skogliga inventeringar är skuggnål en art som måste eftersökas och dess växtplatser ska bedömas som nyckelbiotoper (SLU Artdatabanken, 2024).</w:t>
      </w:r>
    </w:p>
    <w:p>
      <w:r>
        <w:rPr>
          <w:b/>
        </w:rPr>
        <w:t xml:space="preserve">Småflikig brosklav (NT) </w:t>
      </w:r>
      <w:r>
        <w:t>signalerar i hela sitt utbredningsområde skogsbestånd med höga naturvärden. Den indikerar hög luftfuktighet och långvarig förekomst av asp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Svart trolldruva</w:t>
      </w:r>
      <w:r>
        <w:t xml:space="preserve"> är en kalkgynnad växt som förekommer på näringsrik frisk mulljord i såväl bördiga kalkbarrskogar som sydliga kalklövskogar och lundar. Arten är en bra signalart för skyddsvärda biotoper i såväl löv- som barrskogar och tål inte slutavverkning och markberedning. Trolldruva är värdväxt för ett antal sällsynta fjärilsarter som ställer höga krav på sina livsmiljöer, däribland trolldruvemätare (EN), skuggmalmätare (VU) och trolldruvelobmätare (VU) (SLU Artdatabanken, 2024; Nitare &amp; Skogsstyrelsen, 2019).</w:t>
      </w:r>
    </w:p>
    <w:p>
      <w:r>
        <w:rPr>
          <w:b/>
        </w:rPr>
        <w:t xml:space="preserve">Tallticka (NT) </w:t>
      </w:r>
      <w:r>
        <w:t>uppträder först på tallar som är 100–150 år gamla men är vanligast på träd som är runt 150–200 år eller äldre. I skogslandskapet är den främst knuten till tallnaturskogar och restbiotoper med biologiskt gamla träd och signalerar vanligtvis skyddsvärda tallbestånd med höga naturvärden (SLU Artdatabanken, 2023;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Ulltickeporing </w:t>
      </w:r>
      <w:r>
        <w:rPr>
          <w:b/>
          <w:i/>
        </w:rPr>
        <w:t>Skeletocutis brevispora</w:t>
      </w:r>
      <w:r>
        <w:rPr>
          <w:b/>
        </w:rPr>
        <w:t xml:space="preserve"> (VU)</w:t>
      </w:r>
      <w:r>
        <w:t>,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r>
        <w:rPr>
          <w:b/>
        </w:rPr>
        <w:t>Violmussling (NT)</w:t>
      </w:r>
      <w:r>
        <w:t xml:space="preserve"> växer på döda, oftast omkullfallna stammar av gran eller tall. De flesta fynden har gjorts i gammal, orörd skog och arten är en mycket god indikator på förekomst av lång skoglig kontinuitet. Platser som hyser stora bestånd av violmussling bör i första hand skyddas och undantas från skogsbruk. Flera sällsynta och mycket sällsynta tickor och skalbaggar är mer eller mindre starkt associerade med violtickor </w:t>
      </w:r>
      <w:r>
        <w:rPr>
          <w:i/>
        </w:rPr>
        <w:t>Trichaptum spp.</w:t>
      </w:r>
      <w:r>
        <w:t xml:space="preserve"> och död ved som först rötats av någon </w:t>
      </w:r>
      <w:r>
        <w:rPr>
          <w:i/>
        </w:rPr>
        <w:t>Trichaptum-art</w:t>
      </w:r>
      <w:r>
        <w:t>. Bland dessa kan nämnas brunkantad brunbagge</w:t>
      </w:r>
      <w:r>
        <w:rPr>
          <w:i/>
        </w:rPr>
        <w:t xml:space="preserve"> </w:t>
      </w:r>
      <w:r>
        <w:t>(RE), gul mjukporing (CR), lämmelporing (EN), parasitporing (VU), gropig brunbagge (NT), gulbandad brunbagge</w:t>
      </w:r>
      <w:r>
        <w:rPr>
          <w:i/>
        </w:rPr>
        <w:t xml:space="preserve"> </w:t>
      </w:r>
      <w:r>
        <w:t>(NT) och kilporing (NT) (SLU Artdatabanken, 2024; Nitare &amp; Skogsstyrelsen, 2019).</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 xml:space="preserve">Ögonpyrola </w:t>
      </w:r>
      <w:r>
        <w:t>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(Nitare &amp; Skogsstyrelsen, 2019).</w:t>
      </w:r>
    </w:p>
    <w:p>
      <w:pPr>
        <w:pStyle w:val="Heading1"/>
      </w:pPr>
      <w:r>
        <w:t>Fridlysta arter</w:t>
      </w:r>
    </w:p>
    <w:p>
      <w:r>
        <w:t>Följande fridlysta arter har sina livsmiljöer och växtplatser i den avverkningsanmälda skogen: knärot (VU, §8), långskägg (VU, §8), spillkråka (NT, §4), talltita (NT, §4), tretåig hackspett (NT, §4), plattlummer (S, §9), spindelblomster (S, §8), kungsfågel (§4), lavskrika (§4), tjäder (§4), huggorm (§6), fläcknycklar (§8), nattviol (§8)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Knärot (VU, §8)</w:t>
      </w:r>
      <w:r>
        <w:t xml:space="preserve"> är rödlistad som sårbar och fridlyst enligt 8§ artskyddsförordningen. En nyligen genomförd analys av 79 floraväktarlokaler indikerar att det behövs någonstans mellan 100 och 150 meters skyddszon för att en knärotspopulation inte ska dö ut på lång sikt (Sebestyén &amp; Sundberg, 2025). Detta ligger väl i linje med tidigare genomförda studier som visar att det krävs väl tilltagna buffertzoner för att knäroten inte ska ta skada av skogsbruksåtgärder i intilliggande skog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2024).</w:t>
      </w:r>
    </w:p>
    <w:p>
      <w:r>
        <w:t>I det avverkningsanmälda området finns 11 fyndplatser för knärot registrerade på Artportalen. Figur 2 visar gränserna för buffertzoner på 50 m, som behöver lämnas kring fyndplatserna för att knärotslokalerna inte ska försvinna vid en avverkning. Av det avverkningsanmälda området överlappar 8.03 ha med buffertzonerna och får av detta skäl inte avverkas.</w:t>
      </w:r>
    </w:p>
    <w:p>
      <w:pPr>
        <w:pStyle w:val="Caption"/>
      </w:pPr>
      <w:r>
        <w:drawing>
          <wp:inline xmlns:a="http://schemas.openxmlformats.org/drawingml/2006/main" xmlns:pic="http://schemas.openxmlformats.org/drawingml/2006/picture">
            <wp:extent cx="5486400" cy="4472108"/>
            <wp:docPr id="2" name="Picture 2"/>
            <wp:cNvGraphicFramePr>
              <a:graphicFrameLocks noChangeAspect="1"/>
            </wp:cNvGraphicFramePr>
            <a:graphic>
              <a:graphicData uri="http://schemas.openxmlformats.org/drawingml/2006/picture">
                <pic:pic>
                  <pic:nvPicPr>
                    <pic:cNvPr id="0" name="Kravattensliden karta knärot.png"/>
                    <pic:cNvPicPr/>
                  </pic:nvPicPr>
                  <pic:blipFill>
                    <a:blip r:embed="rId17"/>
                    <a:stretch>
                      <a:fillRect/>
                    </a:stretch>
                  </pic:blipFill>
                  <pic:spPr>
                    <a:xfrm>
                      <a:off x="0" y="0"/>
                      <a:ext cx="5486400" cy="4472108"/>
                    </a:xfrm>
                    <a:prstGeom prst="rect"/>
                  </pic:spPr>
                </pic:pic>
              </a:graphicData>
            </a:graphic>
          </wp:inline>
        </w:drawing>
      </w:r>
    </w:p>
    <w:p>
      <w:pPr>
        <w:pStyle w:val="Caption"/>
      </w:pPr>
      <w:r>
        <w:t>Figur 2. Fyndplatser och buffertzoner för knärot i det avverkningsanmälda området. Endast fyndplatser vars buffertzoner överlappar med det avverkningsanmälda området har tagits med i visualiseringen. Kartans mittpunktskoordinat är N 7057669, E 673760 i SWEREF 99 TM.</w:t>
      </w:r>
    </w:p>
    <w:p>
      <w:pPr>
        <w:pStyle w:val="Caption"/>
      </w:pPr>
    </w:p>
    <w:p>
      <w:r>
        <w:rPr>
          <w:b/>
        </w:rPr>
        <w:t>Lavskrika (§4)</w:t>
      </w:r>
      <w:r>
        <w:t>, prioriterad art i Skogsvårdslagen, är en mycket stationär fågel, som häckar i äldre, slutna och hänglavsrika barrskogar. Reviren är livslånga med hemområden som varierar mellan 50 och 150 ha. Inom ett revir av hög kvalitet finns det som regel ett eller flera kärnområden (1–20 ha) med relativt tät flerskiktad granskog. Arten missgynnas när flerskiktad skog omförs till enskiktade bestånd och även röjning och hård gallring är starkt negativt. Lavskrikan har relativt stora hemområden och försvinner när den äldre skogen fragmenteras, särskilt allvarligt är när kärnområdena avverkas. (Skogsstyrelsen 2016). Populationen har minskat med 20–40 % de senaste 30 åren. Arten försvinner successivt framför allt vid dess utbredningsgränser (SLU Artdatabanken, 2021).</w:t>
      </w:r>
    </w:p>
    <w:p>
      <w:r>
        <w:rPr>
          <w:b/>
        </w:rPr>
        <w:t>Långskägg (VU, §8)</w:t>
      </w:r>
      <w:r>
        <w:t xml:space="preserve"> är en exklusiv art som signalerar naturskogar med mycket höga naturvärden. Den är placerad högst upp i Skogsstyrelsens värdepyramid för bedömning av skog med höga naturvärden och fridlyst enligt 8 § artskyddsförordningen. Arten förekommer främst i urskogsartade granskogar i nord- eller östvända bergssluttningar men även i gransumpskog, myrkanter och längs bäckdråg och indikerar lång skoglig kontinuitet där lokalerna ofta utgörs av brandrefugier, det vill säga områden som inte brunnit under åtminstone de senaste 200–300 åren. Långskägg är mycket känslig för uttorkning och vindpåverkan och överlever inte en slutavverkning (inklusive hänsyn). Samtliga kvarvarande lokaler bör skyddas (SLU Artdatabanken, 2024; Nitare &amp; Skogsstyrelsen, 2019).</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(Nitare &amp; Skogsstyrelsen, 2019).</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62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69 naturvårdsarter varav 40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 förhållande till sin generationstid än vad som tidigare varit känt (data från Riksskogstaxeringen) höjdes den till hotkategori sårbar (VU) i rödlistan 2020 (SLU Artdatabanken, 2024).</w:t>
      </w:r>
    </w:p>
    <w:p>
      <w:r>
        <w:t>En analys av 79 floraväktarlokaler åren 1990–2015 vilka återbesökts under 2020–2024 visade på en tydlig negativ påverkan på knärotsförekomster från större hyggen i närområdet (inom 150–200 m) vilket indikerar att kanteffekter har en stor påverkan på populationerna. Resultaten bekräftar knärotens känslighet för kanteffekter och visar vikten av att skydda större skogsbestånd för att bevara arten. Om det blir höga andelar (&gt;30%) hyggen inom 200 meter från en knärotsförekomst så ökar risken för att en knärotspopulation dör ut och det verkar det behövas någonstans mellan 100 och 150 meters skyddszon för att bevara arten på lång sikt (Sebestyén &amp; Sundberg, 2025).</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r>
        <w:t>Vid tillämpning av försiktighetsprincipen enligt 2 kap. 3 § miljöbalken bör sålunda 100–150 meters skyddszon lämnas runt knärotens växtplatser.</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Ecological Applications, 22, 2049–2064</w:t>
      </w:r>
    </w:p>
    <w:p>
      <w:r>
        <w:t xml:space="preserve">Johnson, S., 2014. </w:t>
      </w:r>
      <w:r>
        <w:rPr>
          <w:i/>
        </w:rPr>
        <w:t>Retention Forestry as a Conservation Measure for Boreal Forest Ground Vegetation</w:t>
      </w:r>
      <w:r>
        <w:t>. Doktorsavhandling, SLU, Uppsala</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Sebestyén, L. och Sundberg, S. 2025.  </w:t>
      </w:r>
      <w:r>
        <w:rPr>
          <w:i/>
        </w:rPr>
        <w:t>Påverkan på knärotslokaler från hyggen i närheten.</w:t>
      </w:r>
      <w:r>
        <w:t xml:space="preserve"> DAPHNE 36:1 2025. Botaniska Sällskapet i Stockholm</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2024. </w:t>
      </w:r>
      <w:r>
        <w:rPr>
          <w:i/>
        </w:rPr>
        <w:t xml:space="preserve">Artfaktablad. Naturvård – artfakta. </w:t>
      </w:r>
      <w:r>
        <w:t>SLU Artdatabanken, Uppsala</w:t>
      </w:r>
    </w:p>
    <w:p>
      <w:pPr>
        <w:pStyle w:val="Heading1"/>
      </w:pPr>
      <w:r>
        <w:t>Lavskrika – ekologi samt krav på livsmiljön</w:t>
      </w:r>
    </w:p>
    <w:p>
      <w:r>
        <w:t>Lavskrikan är fridlyst enligt 4 § artskyddsförordningen (2007:845) och ingår i förteckningen över prioriterade arter i Skogsstyrelsens föreskrifter och allmänna råd (SKSFS 2011:7) bilaga 4.</w:t>
      </w:r>
    </w:p>
    <w:p>
      <w:r>
        <w:t xml:space="preserve">I Skogsstyrelsens vägledning för hänsyn till fåglar står bland annat att: </w:t>
      </w:r>
      <w:r>
        <w:rPr>
          <w:i/>
        </w:rPr>
        <w:t>“Reviren är livslånga med hemområden som varierar mellan 50 och 150 ha. Hemområdena har inga fasta gränser utan det handlar mera om de yttre gränserna för familjegruppernas rörelser. Lavskrikan undviker att förflytta sig över stora öppna områden och hemområdesstorleken är därför större i områden fragmenterade av hyggen och yngre skog än i områden med i sammanhängande äldre skog. Det finns studier som antyder att det inom ett revir bör finnas maximalt 15 % öppna ytor och ungskog. Inom ett revir av hög kvalitet finns det som regel ett eller flera kärnområden (1–20 ha) med relativt tät flerskiktad granskog.”</w:t>
      </w:r>
      <w:r>
        <w:t xml:space="preserve"> Vidare att: </w:t>
      </w:r>
      <w:r>
        <w:rPr>
          <w:i/>
        </w:rPr>
        <w:t>“Arten missgynnas när flerskiktad skog omförs till enskiktade bestånd. Även skogsskötsel med återkommande röjning och hård gallring är starkt negativt. Lavskrikan har relativt stora hemområden och försvinner när den äldre skogen fragmenteras, särskilt allvarligt är när kärnområdena avverkas.”</w:t>
      </w:r>
      <w:r>
        <w:t xml:space="preserve"> (Skogsstyrelsen 2016).</w:t>
      </w:r>
    </w:p>
    <w:p>
      <w:r>
        <w:t>Populationen har minskat med 20–40 % de senaste 30 åren, men i Svensk Fågeltaxerings standardrutter varierar antalet kraftigt och ingen minskning kan skönjas de senaste 18 åren. Arten försvinner successivt framför allt vid dess utbredningsgränser (SLU Artdatabanken, 2022).</w:t>
      </w:r>
    </w:p>
    <w:p>
      <w:pPr>
        <w:pStyle w:val="Heading2"/>
      </w:pPr>
      <w:r>
        <w:t>Referenser – lavskrika</w:t>
      </w:r>
    </w:p>
    <w:p>
      <w:r>
        <w:t xml:space="preserve">Skogsstyrelsen, 2016. </w:t>
      </w:r>
      <w:r>
        <w:rPr>
          <w:i/>
        </w:rPr>
        <w:t xml:space="preserve">Vägledning för hänsyn till fåglar – lavskrika. </w:t>
      </w:r>
      <w:r>
        <w:t>https://www.skogsstyrelsen.se/globalassets/lag-och-tillsyn/artskydd/vagledningar-for-hansyn-till-faglar/lavskrika-vagledning-hansyn.pdf</w:t>
      </w:r>
    </w:p>
    <w:p>
      <w:r>
        <w:t xml:space="preserve">SLU Artdatabanken, 2021.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Mindre märgborre – ekologi samt krav på livsmiljön</w:t>
      </w:r>
    </w:p>
    <w:p>
      <w:r>
        <w:t xml:space="preserve">Mindre märgborre är en signalart för tallskog med höga naturvärden och kan lätt konstateras genom sina karaktäristiska måsvingeliknande gnagspår som ofta hittas på grova tallgrenar på marken. Mindre märgborre betraktas tillsammans med skarptandad barkborre (NT) som nyckelarter, eftersom en rad sällsynta efterföljande arter är beroende av deras gångsystem. Bland dessa kan nämnas åtgärdsprogramsarterna avlång barkborre (VU), </w:t>
      </w:r>
      <w:r>
        <w:rPr>
          <w:i/>
        </w:rPr>
        <w:t>Corticeus longulus</w:t>
      </w:r>
      <w:r>
        <w:t xml:space="preserve"> (VU), tallbarksvartbagge (VU), tallgångbagge (VU) och cholodkovskys bastborre (NT) (Pettersson, 2014; Gunnarsson m fl., 1999).</w:t>
      </w:r>
    </w:p>
    <w:p>
      <w:r>
        <w:t>Tallskogar tillhör de livsmiljöer som förändrats i stor skala, där många kvadratmil har omvandlats till unga produktionsskogar. I sådana skogar saknas förutsättningar för de ovannämnda sällsynta barkborrarna och alltmer kunskap tyder på att skogsbrukets omvandling av skogslandskapet, missgynnar åtgärdsprogrammets arter även inne i skyddade områden (Hedgren, 2012; Hedgren m.fl., 2010; Wikars m.fl., 2010; Wikars, 2009). Orsaken är sannolikt att dagens intensiva skogsbruk trivialiserar faunan på nydöda träd. Detta sker genom att generalister förökas upp i sådan grad i den brukade skogen att dessa även kommer att dominera i de för hållandevis små och fragmenterade områden som avsätts för naturvård (Appelqvist, 2005; Janzen, 1983; Ås, 1999).</w:t>
      </w:r>
    </w:p>
    <w:p>
      <w:r>
        <w:t>Ett tydligt exempel på en generalist som gynnas av dagens skogsbruk är större märgborre på nydöd tall. Denna utvecklas förutom i vindfällen gärna i avverkningsavfall, inklusive avverkningsstubbar och röjningsstammar. Därmed har den större märgborren möjlighet att upprätthålla stora och stabila populationer på huvuddelen av landets skogsmark, vilket leder till en trivialisering av faunan. Större märgborre inverkar sannolikt direkt negativt på arter som tolvtandad barkborre (EN) och avlång barkborre (VU), och indirekt på de som är gynnade av blånadssvampar, dvs. följearter till framförallt mindre märgborre och skarptandad barkborre (NT). De barkborrar som missgynnas av större märgborre är i mycket högre grad gynnade av tallar som dör genom självgallring, dvs. i normalfallet skog som inte används till skogsproduktion (Pettersson, 2014; Wikars, skriftl.).</w:t>
      </w:r>
    </w:p>
    <w:p>
      <w:r>
        <w:t>Rika förekomster av främst mindre märgborre men även skarptandad barkborre (NT) är en signal för artrikedom och inventeringar har visat att det är i skogar med en naturlig självgallring som det skapas förutsättningar för dessa arter samt de efterföljande åtgärdsprogramsarterna (Pettersson, 2014; Hedgren, 2012). Tallskogar med stark förekomst av mindre märgborre och skarptandad barkborre bör avsättas som reservat. Generellt bör hänsyn tas vid slutavverkning av talldominerad skog så att avverkningsrester som gren- och toppdelar (s.k. GROT) lämnas (Pettersson, 2014).</w:t>
      </w:r>
    </w:p>
    <w:p>
      <w:pPr>
        <w:pStyle w:val="Heading2"/>
      </w:pPr>
      <w:r>
        <w:t>Referenser – mindre märgborre</w:t>
      </w:r>
    </w:p>
    <w:p>
      <w:r>
        <w:t xml:space="preserve">Appelqvist, T., 2005. </w:t>
      </w:r>
      <w:r>
        <w:rPr>
          <w:i/>
        </w:rPr>
        <w:t>Naturvårdsbiologisk forskning. Underlag för områdesskydd i landskapet.</w:t>
      </w:r>
      <w:r>
        <w:t xml:space="preserve"> Naturvårdsverket, Rapport 5452.</w:t>
      </w:r>
    </w:p>
    <w:p>
      <w:r>
        <w:t xml:space="preserve">Gunnarsson, B., Pettersson, R. B., Hake, M. och Hultengren, S. &amp; Sjöberg, K., 1999. </w:t>
      </w:r>
      <w:r>
        <w:rPr>
          <w:i/>
        </w:rPr>
        <w:t xml:space="preserve">Spindlar och skalbaggar som indikatorer i barrskog. </w:t>
      </w:r>
      <w:r>
        <w:t>Skog &amp; Forskning, Nr. 2/99, s. 46–51.</w:t>
      </w:r>
    </w:p>
    <w:p>
      <w:r>
        <w:t xml:space="preserve">Hedgren, O., 2012. </w:t>
      </w:r>
      <w:r>
        <w:rPr>
          <w:i/>
        </w:rPr>
        <w:t>Hotade insekter på tallved i Dalarna.</w:t>
      </w:r>
      <w:r>
        <w:t xml:space="preserve"> Länsstyrelsen Dalarna, Naturvårdsenheten. Rapport 2012:16.</w:t>
      </w:r>
    </w:p>
    <w:p>
      <w:r>
        <w:t xml:space="preserve">Hedgren, O. 2010. </w:t>
      </w:r>
      <w:r>
        <w:rPr>
          <w:i/>
        </w:rPr>
        <w:t>Vedinsekter i tallskog och på brandfält i Värmland.</w:t>
      </w:r>
      <w:r>
        <w:t xml:space="preserve"> Länsstyrelsen Värmland, Stencil, 39 s.</w:t>
      </w:r>
    </w:p>
    <w:p>
      <w:r>
        <w:t xml:space="preserve">Janzen, D. H., 1983. </w:t>
      </w:r>
      <w:r>
        <w:rPr>
          <w:i/>
        </w:rPr>
        <w:t>No park is an island: Increase in interference from outside as park size decreases</w:t>
      </w:r>
      <w:r>
        <w:t>. Oikos 41: 402–410.</w:t>
      </w:r>
    </w:p>
    <w:p>
      <w:r>
        <w:t xml:space="preserve">Jonsell, M., Weslien, J. &amp; Ehn ström, B., 1998. </w:t>
      </w:r>
      <w:r>
        <w:rPr>
          <w:i/>
        </w:rPr>
        <w:t>Substrate requirements of red-listed saproxylic invertebrates in Sweden</w:t>
      </w:r>
      <w:r>
        <w:t>. Biodiversity and Conserv. 7: 749–764.</w:t>
      </w:r>
    </w:p>
    <w:p>
      <w:r>
        <w:t xml:space="preserve">Pettersson, R. B., 2014). </w:t>
      </w:r>
      <w:r>
        <w:rPr>
          <w:i/>
        </w:rPr>
        <w:t>Åtgärdsprogram för skalbaggar på nyligen död tall, 2014–2018.</w:t>
      </w:r>
      <w:r>
        <w:t xml:space="preserve"> Rapport 6599. Bromma: Naturvårdsverket.</w:t>
      </w:r>
    </w:p>
    <w:p>
      <w:r>
        <w:t xml:space="preserve">Wikars, L.-O., Hansson, J. &amp; Hedgren, O., 2010. </w:t>
      </w:r>
      <w:r>
        <w:rPr>
          <w:i/>
        </w:rPr>
        <w:t>Inventering av vedlevande skalbaggar – tallskogar i Örebro län.</w:t>
      </w:r>
      <w:r>
        <w:t xml:space="preserve"> Länsstyrelsen i Örebro län, publ.nr. 2010:2.</w:t>
      </w:r>
    </w:p>
    <w:p>
      <w:r>
        <w:t xml:space="preserve">Wikars, L.-O., 2009. </w:t>
      </w:r>
      <w:r>
        <w:rPr>
          <w:i/>
        </w:rPr>
        <w:t>Vedskalbaggar i Hamra nationalpark, Gävleborgs län.</w:t>
      </w:r>
      <w:r>
        <w:t xml:space="preserve"> Länsstyrelsen Gävleborg, Rapport 2009:14.</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Ulltickeporing – ekologi samt krav på livsmiljön</w:t>
      </w:r>
    </w:p>
    <w:p>
      <w:r>
        <w:t xml:space="preserve">Ulltickeporing </w:t>
      </w:r>
      <w:r>
        <w:rPr>
          <w:i/>
        </w:rPr>
        <w:t>Skeletocutis brevispora</w:t>
      </w:r>
      <w:r>
        <w:t xml:space="preserve"> (VU),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t xml:space="preserve">Ulltickeporingen har nyligen delats upp i tre olika arter: </w:t>
      </w:r>
      <w:r>
        <w:rPr>
          <w:i/>
        </w:rPr>
        <w:t xml:space="preserve">Skeletocutis brevispora </w:t>
      </w:r>
      <w:r>
        <w:t>(ulltickeporing)</w:t>
      </w:r>
      <w:r>
        <w:rPr>
          <w:i/>
        </w:rPr>
        <w:t>, Skeletocutis delicata och Skeletocutis exilis</w:t>
      </w:r>
      <w:r>
        <w:t xml:space="preserve"> (Miettinen &amp; Niemelä, 2018). Skeletocutis delicata och Skeletocutis exilis står för närvarande (2020) som ej bedömda i rödlistan.</w:t>
      </w:r>
    </w:p>
    <w:p>
      <w:pPr>
        <w:pStyle w:val="Heading2"/>
      </w:pPr>
      <w:r>
        <w:t>Referenser – ulltickeporing</w:t>
      </w:r>
    </w:p>
    <w:p>
      <w:r>
        <w:t xml:space="preserve">Miettinen, O. &amp; Niemelä, T., 2018. </w:t>
      </w:r>
      <w:r>
        <w:rPr>
          <w:i/>
        </w:rPr>
        <w:t>Two new temperate polypore species of Skeletocutis (Polyporales, Basidiomycota)</w:t>
      </w:r>
      <w:r>
        <w:t>. Ann. Bot. Fennici 55: 195–206.</w:t>
      </w:r>
    </w:p>
    <w:p>
      <w:r>
        <w:t xml:space="preserve">SLU Artdatabanken, 2024. </w:t>
      </w:r>
      <w:r>
        <w:rPr>
          <w:i/>
        </w:rPr>
        <w:t xml:space="preserve">Artfaktablad. Naturvård – artfakta. </w:t>
      </w:r>
      <w:r>
        <w:t>SLU Artdatabanken, Uppsala</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2025-08-02</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